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DBA2E" w14:textId="1EB6A3FF" w:rsidR="00205AA8" w:rsidRPr="002B5619" w:rsidRDefault="00205AA8" w:rsidP="00205AA8">
      <w:pPr>
        <w:pStyle w:val="3GPPHeader"/>
        <w:spacing w:after="60"/>
        <w:rPr>
          <w:sz w:val="32"/>
          <w:szCs w:val="32"/>
          <w:highlight w:val="yellow"/>
          <w:lang w:val="en-US"/>
        </w:rPr>
      </w:pPr>
      <w:r w:rsidRPr="00A5627C">
        <w:rPr>
          <w:lang w:val="en-US"/>
        </w:rPr>
        <w:t>3GPP TSG-WG2 Meeting #13</w:t>
      </w:r>
      <w:r>
        <w:rPr>
          <w:lang w:val="en-US"/>
        </w:rPr>
        <w:t>2</w:t>
      </w:r>
      <w:r w:rsidRPr="002B5619">
        <w:rPr>
          <w:lang w:val="en-US"/>
        </w:rPr>
        <w:tab/>
      </w:r>
      <w:r w:rsidRPr="0048797E">
        <w:rPr>
          <w:sz w:val="32"/>
          <w:szCs w:val="32"/>
          <w:lang w:val="en-US"/>
        </w:rPr>
        <w:t>R2-250</w:t>
      </w:r>
      <w:r w:rsidR="00AF61EE">
        <w:rPr>
          <w:sz w:val="32"/>
          <w:szCs w:val="32"/>
          <w:lang w:val="en-US"/>
        </w:rPr>
        <w:t>9073</w:t>
      </w:r>
    </w:p>
    <w:p w14:paraId="19AC3A60" w14:textId="77777777" w:rsidR="00205AA8" w:rsidRPr="00CE0424" w:rsidRDefault="00205AA8" w:rsidP="00205AA8">
      <w:pPr>
        <w:pStyle w:val="3GPPHeader"/>
      </w:pPr>
      <w:r>
        <w:t>Dallas</w:t>
      </w:r>
      <w:r w:rsidRPr="00C81D3F">
        <w:t xml:space="preserve">, </w:t>
      </w:r>
      <w:r>
        <w:t>USA</w:t>
      </w:r>
      <w:r w:rsidRPr="00C81D3F">
        <w:t xml:space="preserve">, </w:t>
      </w:r>
      <w:r>
        <w:t>November</w:t>
      </w:r>
      <w:r w:rsidRPr="00C81D3F">
        <w:t xml:space="preserve"> 1</w:t>
      </w:r>
      <w:r>
        <w:t>7</w:t>
      </w:r>
      <w:r w:rsidRPr="00C81D3F">
        <w:t xml:space="preserve"> – </w:t>
      </w:r>
      <w:r>
        <w:t>21</w:t>
      </w:r>
      <w:r w:rsidRPr="00C81D3F">
        <w:t>, 2025</w:t>
      </w:r>
    </w:p>
    <w:p w14:paraId="7F48292C" w14:textId="77777777" w:rsidR="00205AA8" w:rsidRPr="007245C8" w:rsidRDefault="00205AA8" w:rsidP="00205AA8">
      <w:pPr>
        <w:pStyle w:val="3GPPHeader"/>
        <w:rPr>
          <w:rFonts w:cs="Arial"/>
          <w:bCs/>
          <w:noProof/>
          <w:szCs w:val="24"/>
          <w:lang w:eastAsia="ko-KR"/>
        </w:rPr>
      </w:pPr>
      <w:r>
        <w:rPr>
          <w:rFonts w:cs="Arial"/>
          <w:bCs/>
          <w:noProof/>
          <w:szCs w:val="24"/>
          <w:lang w:eastAsia="ko-KR"/>
        </w:rPr>
        <w:t xml:space="preserve">              </w:t>
      </w:r>
    </w:p>
    <w:p w14:paraId="0E6074F3" w14:textId="649C6F71" w:rsidR="00205AA8" w:rsidRPr="004E19DC" w:rsidRDefault="00205AA8" w:rsidP="00205AA8">
      <w:pPr>
        <w:pStyle w:val="3GPPHeader"/>
        <w:rPr>
          <w:sz w:val="22"/>
          <w:szCs w:val="22"/>
        </w:rPr>
      </w:pPr>
      <w:r w:rsidRPr="00405A94">
        <w:rPr>
          <w:sz w:val="22"/>
          <w:szCs w:val="22"/>
          <w:lang w:val="en-US"/>
        </w:rPr>
        <w:t>Agenda Item:</w:t>
      </w:r>
      <w:r w:rsidRPr="00405A94">
        <w:rPr>
          <w:sz w:val="22"/>
          <w:szCs w:val="22"/>
          <w:lang w:val="en-US"/>
        </w:rPr>
        <w:tab/>
      </w:r>
      <w:r w:rsidR="00F22392" w:rsidRPr="00F22392">
        <w:rPr>
          <w:sz w:val="22"/>
          <w:szCs w:val="22"/>
          <w:lang w:val="en-US"/>
        </w:rPr>
        <w:t>10.2.1</w:t>
      </w:r>
    </w:p>
    <w:p w14:paraId="25733A69" w14:textId="0AA2BF75" w:rsidR="00205AA8" w:rsidRPr="00CE0424" w:rsidRDefault="00205AA8" w:rsidP="00205AA8">
      <w:pPr>
        <w:pStyle w:val="3GPPHeader"/>
        <w:rPr>
          <w:sz w:val="22"/>
          <w:szCs w:val="22"/>
        </w:rPr>
      </w:pPr>
      <w:r>
        <w:rPr>
          <w:sz w:val="22"/>
          <w:szCs w:val="22"/>
        </w:rPr>
        <w:t>Source:</w:t>
      </w:r>
      <w:r w:rsidRPr="00CE0424">
        <w:rPr>
          <w:sz w:val="22"/>
          <w:szCs w:val="22"/>
        </w:rPr>
        <w:tab/>
      </w:r>
      <w:r w:rsidR="00367610" w:rsidRPr="00367610">
        <w:rPr>
          <w:sz w:val="22"/>
          <w:szCs w:val="22"/>
        </w:rPr>
        <w:t>BT Plc, Ericsson, T-Mobile USA, Deutsche Telekom</w:t>
      </w:r>
      <w:r w:rsidR="003D0A26">
        <w:rPr>
          <w:sz w:val="22"/>
          <w:szCs w:val="22"/>
        </w:rPr>
        <w:t xml:space="preserve"> </w:t>
      </w:r>
    </w:p>
    <w:p w14:paraId="5094A775" w14:textId="77777777" w:rsidR="00205AA8" w:rsidRDefault="00205AA8" w:rsidP="00205AA8">
      <w:pPr>
        <w:pStyle w:val="3GPPHeader"/>
        <w:rPr>
          <w:sz w:val="22"/>
          <w:szCs w:val="22"/>
        </w:rPr>
      </w:pPr>
      <w:r>
        <w:rPr>
          <w:sz w:val="22"/>
          <w:szCs w:val="22"/>
        </w:rPr>
        <w:t>Title:</w:t>
      </w:r>
      <w:r w:rsidRPr="00CE0424">
        <w:rPr>
          <w:sz w:val="22"/>
          <w:szCs w:val="22"/>
        </w:rPr>
        <w:tab/>
      </w:r>
      <w:r w:rsidRPr="006124CE">
        <w:rPr>
          <w:sz w:val="22"/>
          <w:szCs w:val="22"/>
        </w:rPr>
        <w:t>Discussion on dynamic UE capability update</w:t>
      </w:r>
    </w:p>
    <w:p w14:paraId="71E9211F" w14:textId="77777777" w:rsidR="00205AA8" w:rsidRPr="007F504B" w:rsidRDefault="00205AA8" w:rsidP="00205AA8">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17A89880" w14:textId="77777777" w:rsidR="00205AA8" w:rsidRDefault="00205AA8" w:rsidP="00205AA8">
      <w:pPr>
        <w:pStyle w:val="Heading1"/>
      </w:pPr>
      <w:r>
        <w:t>1</w:t>
      </w:r>
      <w:r>
        <w:tab/>
      </w:r>
      <w:r w:rsidRPr="00CE0424">
        <w:t>Introduction</w:t>
      </w:r>
      <w:bookmarkStart w:id="0" w:name="_Ref178064866"/>
    </w:p>
    <w:p w14:paraId="39EF3241" w14:textId="77777777" w:rsidR="00205AA8" w:rsidRDefault="00205AA8" w:rsidP="00205AA8">
      <w:pPr>
        <w:pStyle w:val="BodyText"/>
      </w:pPr>
      <w:r>
        <w:t>In RAN2#131-bis, the following was agreed:</w:t>
      </w:r>
    </w:p>
    <w:p w14:paraId="2867B398" w14:textId="77777777" w:rsidR="00205AA8" w:rsidRDefault="00205AA8" w:rsidP="00205AA8">
      <w:pPr>
        <w:pStyle w:val="Agreement"/>
        <w:pBdr>
          <w:top w:val="single" w:sz="4" w:space="1" w:color="auto"/>
          <w:left w:val="single" w:sz="4" w:space="4" w:color="auto"/>
          <w:bottom w:val="single" w:sz="4" w:space="1" w:color="auto"/>
          <w:right w:val="single" w:sz="4" w:space="4" w:color="auto"/>
        </w:pBdr>
        <w:tabs>
          <w:tab w:val="clear" w:pos="360"/>
          <w:tab w:val="num" w:pos="1619"/>
        </w:tabs>
        <w:ind w:left="1619" w:hanging="360"/>
      </w:pPr>
      <w:r>
        <w:t xml:space="preserve">Companies can identify use cases to justify </w:t>
      </w:r>
      <w:r w:rsidRPr="000F4F02">
        <w:rPr>
          <w:highlight w:val="yellow"/>
        </w:rPr>
        <w:t>dynamic capability change in connected mode</w:t>
      </w:r>
      <w:r>
        <w:t xml:space="preserve"> and analyse impacts to network side and network behaviour upon reception of updated capabilities.   Understand if there is impact to other WGs.  </w:t>
      </w:r>
    </w:p>
    <w:p w14:paraId="2D6188BD" w14:textId="77777777" w:rsidR="00205AA8" w:rsidRDefault="00205AA8" w:rsidP="00205AA8">
      <w:pPr>
        <w:pStyle w:val="BodyText"/>
      </w:pPr>
    </w:p>
    <w:p w14:paraId="11C78F2F" w14:textId="77777777" w:rsidR="00205AA8" w:rsidRPr="006C63B7" w:rsidRDefault="00205AA8" w:rsidP="00205AA8">
      <w:pPr>
        <w:pStyle w:val="BodyText"/>
      </w:pPr>
      <w:r>
        <w:t xml:space="preserve">This contribution discusses the challenges with dynamic capability updates and way forward. </w:t>
      </w:r>
    </w:p>
    <w:p w14:paraId="2FCCAD5B" w14:textId="77777777" w:rsidR="00205AA8" w:rsidRDefault="00205AA8" w:rsidP="00205AA8">
      <w:pPr>
        <w:pStyle w:val="Heading1"/>
      </w:pPr>
      <w:r>
        <w:t>2</w:t>
      </w:r>
      <w:r>
        <w:tab/>
        <w:t>Discussion</w:t>
      </w:r>
    </w:p>
    <w:p w14:paraId="5A234723" w14:textId="77777777" w:rsidR="00205AA8" w:rsidRDefault="00205AA8" w:rsidP="00205AA8">
      <w:pPr>
        <w:pStyle w:val="Heading2"/>
      </w:pPr>
      <w:r>
        <w:t>2.1</w:t>
      </w:r>
      <w:r>
        <w:tab/>
        <w:t>The problem with the current dynamic UE capabilities framework</w:t>
      </w:r>
    </w:p>
    <w:p w14:paraId="166CE3B5" w14:textId="77777777" w:rsidR="00205AA8" w:rsidRDefault="00205AA8" w:rsidP="00205AA8">
      <w:pPr>
        <w:pStyle w:val="BodyText"/>
      </w:pPr>
      <w:r>
        <w:t>In the beginning of time, there were UE capability messages, only. Therein, the UE indicated the features that it supports. And accordingly, the network configured only features that the UE supported.</w:t>
      </w:r>
    </w:p>
    <w:p w14:paraId="6A684FFF" w14:textId="77777777" w:rsidR="00205AA8" w:rsidRDefault="00205AA8" w:rsidP="00205AA8">
      <w:pPr>
        <w:pStyle w:val="BodyText"/>
      </w:pPr>
      <w:r>
        <w:t>Then in Rel-11 of LTE, in-device coexistence (IDC) issues were brought up in 3GPP discussions. It was identified that devices implemented other technologies than only LTE, such as Wi-Fi, GNSS, etc. The hardware for those other technologies would sometimes interfere with the LTE communication causing these IDC issues. Some of those IDC issues could not always be addressed by the UE itself, and therefore RAN2 introduced the IDC indication allowing the UE to inform the network that it needs help upon which the network assisted the UE, e.g. handed over the UE to another frequency.</w:t>
      </w:r>
    </w:p>
    <w:p w14:paraId="3ED1E126" w14:textId="77777777" w:rsidR="00205AA8" w:rsidRDefault="00205AA8" w:rsidP="00205AA8">
      <w:pPr>
        <w:pStyle w:val="BodyText"/>
      </w:pPr>
      <w:r>
        <w:t xml:space="preserve">Since the introduction of the IDC feature, similar indications have been added that have different criticality such as overheating, UE power saving, </w:t>
      </w:r>
      <w:proofErr w:type="gramStart"/>
      <w:r>
        <w:t>Multi-SIM</w:t>
      </w:r>
      <w:proofErr w:type="gramEnd"/>
      <w:r>
        <w:t xml:space="preserve">, etc. In NR all these different indications are defined under the UE Assistance Information-framework, but they are specified as individual features, even though they are almost identical in nature. Meaning that one UE might implement the IDC-feature, but not other features. And the UE might find itself in a network implementing the (almost identical) overheating-feature but not the IDC-feature. So even if the features are almost identical, because they are specified as independent features we see this kind of market fragmentation. Some of the individual features are useful and work well, however market fragmentation has limited the usability of these </w:t>
      </w:r>
      <w:proofErr w:type="gramStart"/>
      <w:r>
        <w:t>features in reality</w:t>
      </w:r>
      <w:proofErr w:type="gramEnd"/>
      <w:r>
        <w:t>.</w:t>
      </w:r>
    </w:p>
    <w:p w14:paraId="14B73DC8" w14:textId="77777777" w:rsidR="00205AA8" w:rsidRDefault="00205AA8" w:rsidP="00205AA8">
      <w:pPr>
        <w:pStyle w:val="Observation"/>
        <w:tabs>
          <w:tab w:val="clear" w:pos="360"/>
        </w:tabs>
      </w:pPr>
      <w:bookmarkStart w:id="1" w:name="_Toc213082377"/>
      <w:r>
        <w:t>In NR, “dynamic UE capabilities” is addressed by the UAI-framework but the way it is specified has caused market fragmentation and reduced its usability.</w:t>
      </w:r>
      <w:bookmarkEnd w:id="1"/>
    </w:p>
    <w:p w14:paraId="54C9E65D" w14:textId="77777777" w:rsidR="00205AA8" w:rsidRDefault="00205AA8" w:rsidP="00205AA8">
      <w:pPr>
        <w:pStyle w:val="BodyText"/>
      </w:pPr>
      <w:r>
        <w:t xml:space="preserve">Therefore, a unified way to indicate temporary </w:t>
      </w:r>
      <w:bookmarkStart w:id="2" w:name="_Hlk212636827"/>
      <w:r>
        <w:t xml:space="preserve">problems and constrains in the UE </w:t>
      </w:r>
      <w:bookmarkEnd w:id="2"/>
      <w:r>
        <w:t>can improve its use and can help to focus on the fields that have actual impact on the UE.</w:t>
      </w:r>
    </w:p>
    <w:p w14:paraId="60976D47" w14:textId="77777777" w:rsidR="00205AA8" w:rsidRDefault="00205AA8" w:rsidP="00205AA8">
      <w:pPr>
        <w:pStyle w:val="Proposal"/>
      </w:pPr>
      <w:bookmarkStart w:id="3" w:name="_Toc213082386"/>
      <w:r>
        <w:t>Study a unified framework to report temporary problems and constrains in the</w:t>
      </w:r>
      <w:r w:rsidRPr="00C36139">
        <w:t xml:space="preserve"> UE</w:t>
      </w:r>
      <w:r>
        <w:t>.</w:t>
      </w:r>
      <w:bookmarkEnd w:id="3"/>
    </w:p>
    <w:p w14:paraId="2C48216C" w14:textId="77777777" w:rsidR="00205AA8" w:rsidRDefault="00205AA8" w:rsidP="00205AA8">
      <w:pPr>
        <w:pStyle w:val="Heading2"/>
      </w:pPr>
      <w:r>
        <w:t>2.2</w:t>
      </w:r>
      <w:r>
        <w:tab/>
        <w:t xml:space="preserve">Updating the UE capability container instead of using UAI </w:t>
      </w:r>
    </w:p>
    <w:p w14:paraId="663703E6" w14:textId="77777777" w:rsidR="00205AA8" w:rsidRDefault="00205AA8" w:rsidP="00205AA8">
      <w:pPr>
        <w:pStyle w:val="BodyText"/>
      </w:pPr>
      <w:r>
        <w:t xml:space="preserve">It has been raised that instead of using UAI, the UE could provide updated (downgraded) capability container to the gNB. However, such approach would be unnecessary complex in terms of processing and heavy in terms of signalling overhead. For instance, if the UE wants to indicate that it does not wish to be configured </w:t>
      </w:r>
      <w:r>
        <w:lastRenderedPageBreak/>
        <w:t xml:space="preserve">with more than 2 carriers, it </w:t>
      </w:r>
      <w:proofErr w:type="gramStart"/>
      <w:r>
        <w:t>would</w:t>
      </w:r>
      <w:proofErr w:type="gramEnd"/>
      <w:r>
        <w:t xml:space="preserve"> have to generate a new UE capability container with reshaped band combinations and regenerating </w:t>
      </w:r>
      <w:proofErr w:type="spellStart"/>
      <w:r>
        <w:t>featureSetCombinations</w:t>
      </w:r>
      <w:proofErr w:type="spellEnd"/>
      <w:r>
        <w:t xml:space="preserve">. Furthermore, a band combination that the UE previously indicated with bands A+B+C, in this example the UE would need to instead include band combination A+B, A+C and B+C – this could also lead to size limitation where such capability container update includes even less capabilities than what the UE wanted to restrict. The network also would have to check all these band combinations (which can possibly be more than previously indicated) just to find out that the UE cannot be configured with more than 2 carriers. Once the UE </w:t>
      </w:r>
      <w:proofErr w:type="gramStart"/>
      <w:r>
        <w:t>is able to</w:t>
      </w:r>
      <w:proofErr w:type="gramEnd"/>
      <w:r>
        <w:t xml:space="preserve"> handle more carriers, it would update the capability container again, and so on. It should be noted that size of typical capability containers grew to several Kbyte. Some UEs send capabilities of more than 80 Kbyte. Sending so much control signalling just to request the NW to use only 2CC temporarily would be very inefficient. </w:t>
      </w:r>
    </w:p>
    <w:p w14:paraId="679D7C53" w14:textId="77777777" w:rsidR="00205AA8" w:rsidRDefault="00205AA8" w:rsidP="00205AA8">
      <w:pPr>
        <w:pStyle w:val="BodyText"/>
      </w:pPr>
      <w:r>
        <w:t>It would thus be much easier if the UE could simply tell the network a preference to be configured with only 2 carriers, like it can do today with the UE assistance info.</w:t>
      </w:r>
    </w:p>
    <w:p w14:paraId="1FB759F7" w14:textId="77777777" w:rsidR="00205AA8" w:rsidRDefault="00205AA8" w:rsidP="00205AA8">
      <w:pPr>
        <w:pStyle w:val="BodyText"/>
      </w:pPr>
      <w:r>
        <w:t xml:space="preserve">It should also be noted that the main issue is how to address temporary problems and constrains in the UE and not actual change on UE capabilities. The UE capabilities are what is used by the network to derive a valid RRC configuration. Temporary unavailability of certain features or the UE’s preference to not use them does not necessarily result in an RRC Reconfiguration. For instance, a UE configured with 5 carriers may indicate with NR overheating framework that </w:t>
      </w:r>
      <w:proofErr w:type="gramStart"/>
      <w:r>
        <w:t>it</w:t>
      </w:r>
      <w:proofErr w:type="gramEnd"/>
      <w:r>
        <w:t xml:space="preserve"> needs at most 2 active carriers; the network may then decide to deactivate 3 of the UE carriers instead of releasing them. Such indication would not be possible to be provided via UE capability container update, since that represents what can be configured to the UE. Therefore, this approach would force the UE to generate a new band combination list where all band combinations have at most two carriers, which would then require the network to </w:t>
      </w:r>
      <w:proofErr w:type="gramStart"/>
      <w:r>
        <w:t>reconfigured</w:t>
      </w:r>
      <w:proofErr w:type="gramEnd"/>
      <w:r>
        <w:t xml:space="preserve"> the UE – this would make the whole process slower and less effective than informing the network about the actual issue.</w:t>
      </w:r>
    </w:p>
    <w:p w14:paraId="58031C17" w14:textId="77777777" w:rsidR="00205AA8" w:rsidRDefault="00205AA8" w:rsidP="00205AA8">
      <w:pPr>
        <w:pStyle w:val="BodyText"/>
      </w:pPr>
      <w:r>
        <w:t xml:space="preserve">This approach may also hinder the network from retrieving UE capabilities from the core network, which is a mechanism that avoids a lot of repeated UE capability enquiries. When a UE moves from RRC_IDLE to RRC_CONNECTED the gNB typically obtains the UE capabilities from the core network (AMF) and thereby avoids fetching them via the </w:t>
      </w:r>
      <w:proofErr w:type="spellStart"/>
      <w:r>
        <w:t>Uu</w:t>
      </w:r>
      <w:proofErr w:type="spellEnd"/>
      <w:r>
        <w:t xml:space="preserve"> interface from the UE. But if the UE could update its capability container dynamically, it is unclear if such updates are also provided to the CN, or if the capabilities stored in the CN would be valid at all throughout multiple connections.</w:t>
      </w:r>
    </w:p>
    <w:p w14:paraId="0A598383" w14:textId="77777777" w:rsidR="00205AA8" w:rsidRDefault="00205AA8" w:rsidP="00205AA8">
      <w:pPr>
        <w:pStyle w:val="BodyText"/>
      </w:pPr>
      <w:r>
        <w:t>Overall providing an updated UE capability container involves much more aspects than simply changing certain capabilities, while it does not address the main issue.</w:t>
      </w:r>
    </w:p>
    <w:p w14:paraId="2716F44F" w14:textId="77777777" w:rsidR="00205AA8" w:rsidRDefault="00205AA8" w:rsidP="00205AA8">
      <w:pPr>
        <w:pStyle w:val="Observation"/>
        <w:tabs>
          <w:tab w:val="clear" w:pos="360"/>
        </w:tabs>
      </w:pPr>
      <w:bookmarkStart w:id="4" w:name="_Toc213082378"/>
      <w:r>
        <w:t>Dynamic capability update has several challenges and does not address the main issue regarding temporary problems and constrains in the UE.</w:t>
      </w:r>
      <w:bookmarkEnd w:id="4"/>
    </w:p>
    <w:p w14:paraId="36A74B9F" w14:textId="77777777" w:rsidR="00205AA8" w:rsidRDefault="00205AA8" w:rsidP="00205AA8">
      <w:pPr>
        <w:pStyle w:val="BodyText"/>
      </w:pPr>
      <w:r>
        <w:t xml:space="preserve">Given the issues discussed above, we should find a solution that </w:t>
      </w:r>
      <w:r w:rsidDel="00972162">
        <w:t xml:space="preserve">is </w:t>
      </w:r>
      <w:r>
        <w:t>not focused on the radio access UE capabilities but rather on what the UE can indicate to the NW to address the appropriate scenario. To this end, we should discuss particular use cases and what to include in UAI to have an effective framework to assist the network to make the appropriate decision for each case.</w:t>
      </w:r>
    </w:p>
    <w:p w14:paraId="4B0CF332" w14:textId="77777777" w:rsidR="00205AA8" w:rsidRDefault="00205AA8" w:rsidP="00205AA8">
      <w:pPr>
        <w:pStyle w:val="Proposal"/>
      </w:pPr>
      <w:bookmarkStart w:id="5" w:name="_Toc213082387"/>
      <w:r>
        <w:t>Focus on solutions within UAI framework for temporary problems and constrains on the</w:t>
      </w:r>
      <w:r w:rsidRPr="00C36139">
        <w:t xml:space="preserve"> UE</w:t>
      </w:r>
      <w:r>
        <w:t>.</w:t>
      </w:r>
      <w:bookmarkEnd w:id="5"/>
    </w:p>
    <w:bookmarkEnd w:id="0"/>
    <w:p w14:paraId="4ADA963C" w14:textId="77777777" w:rsidR="00205AA8" w:rsidRPr="00CE0424" w:rsidRDefault="00205AA8" w:rsidP="00205AA8">
      <w:pPr>
        <w:pStyle w:val="Heading1"/>
      </w:pPr>
      <w:r>
        <w:t>3</w:t>
      </w:r>
      <w:r>
        <w:tab/>
      </w:r>
      <w:r w:rsidRPr="00CE0424">
        <w:t>Conclusion</w:t>
      </w:r>
    </w:p>
    <w:p w14:paraId="3EC26A2B" w14:textId="77777777" w:rsidR="00205AA8" w:rsidRDefault="00205AA8" w:rsidP="00205AA8">
      <w:pPr>
        <w:pStyle w:val="BodyText"/>
        <w:rPr>
          <w:b/>
          <w:bCs/>
        </w:rPr>
      </w:pPr>
      <w:r>
        <w:t>In the previous sections</w:t>
      </w:r>
      <w:r w:rsidRPr="00CE0424">
        <w:t xml:space="preserve"> we </w:t>
      </w:r>
      <w:r>
        <w:t>made the following observations</w:t>
      </w:r>
      <w:r w:rsidRPr="00CE0424">
        <w:t>:</w:t>
      </w:r>
      <w:r>
        <w:rPr>
          <w:b/>
          <w:bCs/>
        </w:rPr>
        <w:t xml:space="preserve"> </w:t>
      </w:r>
    </w:p>
    <w:p w14:paraId="436FBC74" w14:textId="77777777" w:rsidR="00205AA8" w:rsidRDefault="00205AA8" w:rsidP="00205AA8">
      <w:pPr>
        <w:pStyle w:val="TableofFigures"/>
        <w:tabs>
          <w:tab w:val="right" w:leader="dot" w:pos="9629"/>
        </w:tabs>
        <w:rPr>
          <w:rFonts w:asciiTheme="minorHAnsi" w:eastAsiaTheme="minorEastAsia" w:hAnsiTheme="minorHAnsi" w:cstheme="minorBidi"/>
          <w:b w:val="0"/>
          <w:noProof/>
          <w:kern w:val="2"/>
          <w:sz w:val="24"/>
          <w:szCs w:val="24"/>
        </w:rPr>
      </w:pPr>
      <w:r>
        <w:rPr>
          <w:b w:val="0"/>
          <w:bCs/>
        </w:rPr>
        <w:fldChar w:fldCharType="begin"/>
      </w:r>
      <w:r>
        <w:rPr>
          <w:bCs/>
        </w:rPr>
        <w:instrText xml:space="preserve"> TOC \f O \n \h \z \t "Observation" \c </w:instrText>
      </w:r>
      <w:r>
        <w:rPr>
          <w:b w:val="0"/>
          <w:bCs/>
        </w:rPr>
        <w:fldChar w:fldCharType="separate"/>
      </w:r>
      <w:hyperlink w:anchor="_Toc213082377" w:history="1">
        <w:r w:rsidRPr="00480E56">
          <w:rPr>
            <w:rStyle w:val="Hyperlink"/>
            <w:noProof/>
          </w:rPr>
          <w:t>Observation 1</w:t>
        </w:r>
        <w:r>
          <w:rPr>
            <w:rFonts w:asciiTheme="minorHAnsi" w:eastAsiaTheme="minorEastAsia" w:hAnsiTheme="minorHAnsi" w:cstheme="minorBidi"/>
            <w:b w:val="0"/>
            <w:noProof/>
            <w:kern w:val="2"/>
            <w:sz w:val="24"/>
            <w:szCs w:val="24"/>
          </w:rPr>
          <w:tab/>
        </w:r>
        <w:r w:rsidRPr="00480E56">
          <w:rPr>
            <w:rStyle w:val="Hyperlink"/>
            <w:noProof/>
          </w:rPr>
          <w:t>In NR, “dynamic UE capabilities” is addressed by the UAI-framework but the way it is specified has caused market fragmentation and reduced its usability.</w:t>
        </w:r>
      </w:hyperlink>
    </w:p>
    <w:p w14:paraId="309D76E6" w14:textId="77777777" w:rsidR="00205AA8" w:rsidRDefault="00205AA8" w:rsidP="00205AA8">
      <w:pPr>
        <w:pStyle w:val="TableofFigures"/>
        <w:tabs>
          <w:tab w:val="right" w:leader="dot" w:pos="9629"/>
        </w:tabs>
        <w:rPr>
          <w:rFonts w:asciiTheme="minorHAnsi" w:eastAsiaTheme="minorEastAsia" w:hAnsiTheme="minorHAnsi" w:cstheme="minorBidi"/>
          <w:b w:val="0"/>
          <w:noProof/>
          <w:kern w:val="2"/>
          <w:sz w:val="24"/>
          <w:szCs w:val="24"/>
        </w:rPr>
      </w:pPr>
      <w:hyperlink w:anchor="_Toc213082378" w:history="1">
        <w:r w:rsidRPr="00480E56">
          <w:rPr>
            <w:rStyle w:val="Hyperlink"/>
            <w:noProof/>
          </w:rPr>
          <w:t>Observation 2</w:t>
        </w:r>
        <w:r>
          <w:rPr>
            <w:rFonts w:asciiTheme="minorHAnsi" w:eastAsiaTheme="minorEastAsia" w:hAnsiTheme="minorHAnsi" w:cstheme="minorBidi"/>
            <w:b w:val="0"/>
            <w:noProof/>
            <w:kern w:val="2"/>
            <w:sz w:val="24"/>
            <w:szCs w:val="24"/>
          </w:rPr>
          <w:tab/>
        </w:r>
        <w:r w:rsidRPr="00480E56">
          <w:rPr>
            <w:rStyle w:val="Hyperlink"/>
            <w:noProof/>
          </w:rPr>
          <w:t>Dynamic capability update has several challenges and does not address the main issue regarding temporary problems and constrains in the UE.</w:t>
        </w:r>
      </w:hyperlink>
    </w:p>
    <w:p w14:paraId="23E71758" w14:textId="77777777" w:rsidR="00205AA8" w:rsidRDefault="00205AA8" w:rsidP="00205AA8">
      <w:pPr>
        <w:pStyle w:val="BodyText"/>
        <w:rPr>
          <w:noProof/>
        </w:rPr>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r>
        <w:rPr>
          <w:bCs/>
          <w:lang w:val="en-US"/>
        </w:rPr>
        <w:fldChar w:fldCharType="begin"/>
      </w:r>
      <w:r>
        <w:rPr>
          <w:bCs/>
          <w:lang w:val="en-US"/>
        </w:rPr>
        <w:instrText xml:space="preserve"> TOC \n \h \z \t "Proposal" \c </w:instrText>
      </w:r>
      <w:r>
        <w:rPr>
          <w:bCs/>
          <w:lang w:val="en-US"/>
        </w:rPr>
        <w:fldChar w:fldCharType="separate"/>
      </w:r>
    </w:p>
    <w:p w14:paraId="737750E0" w14:textId="77777777" w:rsidR="00205AA8" w:rsidRDefault="00205AA8" w:rsidP="00205AA8">
      <w:pPr>
        <w:pStyle w:val="TableofFigures"/>
        <w:tabs>
          <w:tab w:val="right" w:leader="dot" w:pos="9629"/>
        </w:tabs>
        <w:rPr>
          <w:rFonts w:asciiTheme="minorHAnsi" w:eastAsiaTheme="minorEastAsia" w:hAnsiTheme="minorHAnsi" w:cstheme="minorBidi"/>
          <w:b w:val="0"/>
          <w:noProof/>
          <w:kern w:val="2"/>
          <w:sz w:val="24"/>
          <w:szCs w:val="24"/>
        </w:rPr>
      </w:pPr>
      <w:hyperlink w:anchor="_Toc213082386" w:history="1">
        <w:r w:rsidRPr="00C66379">
          <w:rPr>
            <w:rStyle w:val="Hyperlink"/>
            <w:noProof/>
          </w:rPr>
          <w:t>Proposal 1</w:t>
        </w:r>
        <w:r>
          <w:rPr>
            <w:rFonts w:asciiTheme="minorHAnsi" w:eastAsiaTheme="minorEastAsia" w:hAnsiTheme="minorHAnsi" w:cstheme="minorBidi"/>
            <w:b w:val="0"/>
            <w:noProof/>
            <w:kern w:val="2"/>
            <w:sz w:val="24"/>
            <w:szCs w:val="24"/>
          </w:rPr>
          <w:tab/>
        </w:r>
        <w:r w:rsidRPr="00C66379">
          <w:rPr>
            <w:rStyle w:val="Hyperlink"/>
            <w:noProof/>
          </w:rPr>
          <w:t>Study a unified framework to report temporary problems and constrains in the UE.</w:t>
        </w:r>
      </w:hyperlink>
    </w:p>
    <w:p w14:paraId="43668D46" w14:textId="77777777" w:rsidR="00205AA8" w:rsidRDefault="00205AA8" w:rsidP="00205AA8">
      <w:pPr>
        <w:pStyle w:val="TableofFigures"/>
        <w:tabs>
          <w:tab w:val="right" w:leader="dot" w:pos="9629"/>
        </w:tabs>
        <w:rPr>
          <w:rFonts w:asciiTheme="minorHAnsi" w:eastAsiaTheme="minorEastAsia" w:hAnsiTheme="minorHAnsi" w:cstheme="minorBidi"/>
          <w:b w:val="0"/>
          <w:noProof/>
          <w:kern w:val="2"/>
          <w:sz w:val="24"/>
          <w:szCs w:val="24"/>
        </w:rPr>
      </w:pPr>
      <w:hyperlink w:anchor="_Toc213082387" w:history="1">
        <w:r w:rsidRPr="00C66379">
          <w:rPr>
            <w:rStyle w:val="Hyperlink"/>
            <w:noProof/>
          </w:rPr>
          <w:t>Proposal 2</w:t>
        </w:r>
        <w:r>
          <w:rPr>
            <w:rFonts w:asciiTheme="minorHAnsi" w:eastAsiaTheme="minorEastAsia" w:hAnsiTheme="minorHAnsi" w:cstheme="minorBidi"/>
            <w:b w:val="0"/>
            <w:noProof/>
            <w:kern w:val="2"/>
            <w:sz w:val="24"/>
            <w:szCs w:val="24"/>
          </w:rPr>
          <w:tab/>
        </w:r>
        <w:r w:rsidRPr="00C66379">
          <w:rPr>
            <w:rStyle w:val="Hyperlink"/>
            <w:noProof/>
          </w:rPr>
          <w:t>Focus on solutions within UAI framework for temporary problems and constrains on the UE.</w:t>
        </w:r>
      </w:hyperlink>
    </w:p>
    <w:p w14:paraId="50467F7C" w14:textId="77777777" w:rsidR="00205AA8" w:rsidRPr="003517CB" w:rsidRDefault="00205AA8" w:rsidP="00205AA8">
      <w:r>
        <w:rPr>
          <w:lang w:val="en-US"/>
        </w:rPr>
        <w:fldChar w:fldCharType="end"/>
      </w:r>
    </w:p>
    <w:p w14:paraId="56E35754" w14:textId="77777777" w:rsidR="00F211BF" w:rsidRDefault="00F211BF"/>
    <w:sectPr w:rsidR="00F211BF" w:rsidSect="00205AA8">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AE1D5" w14:textId="77777777" w:rsidR="00205AA8" w:rsidRDefault="00205AA8" w:rsidP="00205AA8">
      <w:pPr>
        <w:spacing w:after="0"/>
      </w:pPr>
      <w:r>
        <w:separator/>
      </w:r>
    </w:p>
  </w:endnote>
  <w:endnote w:type="continuationSeparator" w:id="0">
    <w:p w14:paraId="2B02DE38" w14:textId="77777777" w:rsidR="00205AA8" w:rsidRDefault="00205AA8" w:rsidP="00205A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673AC" w14:textId="3A0E7CE5" w:rsidR="00205AA8" w:rsidRDefault="00055444">
    <w:pPr>
      <w:pStyle w:val="Footer"/>
    </w:pPr>
    <w:r>
      <w:pict w14:anchorId="18C557D8">
        <v:shapetype id="_x0000_t202" coordsize="21600,21600" o:spt="202" path="m,l,21600r21600,l21600,xe">
          <v:stroke joinstyle="miter"/>
          <v:path gradientshapeok="t" o:connecttype="rect"/>
        </v:shapetype>
        <v:shape id="Text Box 5" o:spid="_x0000_s1027" type="#_x0000_t202" alt="General" style="position:absolute;left:0;text-align:left;margin-left:9pt;margin-top:0;width:55.7pt;height:26.05pt;z-index:25166336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" filled="f" stroked="f">
          <v:textbox style="mso-fit-shape-to-text:t" inset="0,0,20pt,15pt">
            <w:txbxContent>
              <w:p w14:paraId="3B0DA5D7" w14:textId="77777777" w:rsidR="00205AA8" w:rsidRPr="00646D57" w:rsidRDefault="00205AA8" w:rsidP="00646D57">
                <w:pPr>
                  <w:spacing w:after="0"/>
                  <w:rPr>
                    <w:rFonts w:ascii="Century Gothic" w:eastAsia="Century Gothic" w:hAnsi="Century Gothic" w:cs="Century Gothic"/>
                    <w:noProof/>
                    <w:color w:val="5514B4"/>
                    <w:sz w:val="18"/>
                    <w:szCs w:val="18"/>
                  </w:rPr>
                </w:pPr>
                <w:r w:rsidRPr="00646D57">
                  <w:rPr>
                    <w:rFonts w:ascii="Century Gothic" w:eastAsia="Century Gothic" w:hAnsi="Century Gothic" w:cs="Century Gothic"/>
                    <w:noProof/>
                    <w:color w:val="5514B4"/>
                    <w:sz w:val="18"/>
                    <w:szCs w:val="18"/>
                  </w:rPr>
                  <w:t>General</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AC9DA" w14:textId="1BD53746" w:rsidR="00205AA8" w:rsidRDefault="00055444">
    <w:pPr>
      <w:pStyle w:val="Footer"/>
    </w:pPr>
    <w:r>
      <w:pict w14:anchorId="6D6E532B">
        <v:shapetype id="_x0000_t202" coordsize="21600,21600" o:spt="202" path="m,l,21600r21600,l21600,xe">
          <v:stroke joinstyle="miter"/>
          <v:path gradientshapeok="t" o:connecttype="rect"/>
        </v:shapetype>
        <v:shape id="Text Box 6" o:spid="_x0000_s1028" type="#_x0000_t202" alt="General" style="position:absolute;left:0;text-align:left;margin-left:9pt;margin-top:0;width:55.7pt;height:26.05pt;z-index:25166438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" filled="f" stroked="f">
          <v:textbox style="mso-fit-shape-to-text:t" inset="0,0,20pt,15pt">
            <w:txbxContent>
              <w:p w14:paraId="3807FF4B" w14:textId="77777777" w:rsidR="00205AA8" w:rsidRPr="00646D57" w:rsidRDefault="00205AA8" w:rsidP="00646D57">
                <w:pPr>
                  <w:spacing w:after="0"/>
                  <w:rPr>
                    <w:rFonts w:ascii="Century Gothic" w:eastAsia="Century Gothic" w:hAnsi="Century Gothic" w:cs="Century Gothic"/>
                    <w:noProof/>
                    <w:color w:val="5514B4"/>
                    <w:sz w:val="18"/>
                    <w:szCs w:val="18"/>
                  </w:rPr>
                </w:pPr>
                <w:r w:rsidRPr="00646D57">
                  <w:rPr>
                    <w:rFonts w:ascii="Century Gothic" w:eastAsia="Century Gothic" w:hAnsi="Century Gothic" w:cs="Century Gothic"/>
                    <w:noProof/>
                    <w:color w:val="5514B4"/>
                    <w:sz w:val="18"/>
                    <w:szCs w:val="18"/>
                  </w:rPr>
                  <w:t>General</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693B1" w14:textId="68CA0AAC" w:rsidR="00205AA8" w:rsidRDefault="00055444">
    <w:pPr>
      <w:pStyle w:val="Footer"/>
    </w:pPr>
    <w:r>
      <w:pict w14:anchorId="5C0C2DE9">
        <v:shapetype id="_x0000_t202" coordsize="21600,21600" o:spt="202" path="m,l,21600r21600,l21600,xe">
          <v:stroke joinstyle="miter"/>
          <v:path gradientshapeok="t" o:connecttype="rect"/>
        </v:shapetype>
        <v:shape id="Text Box 4" o:spid="_x0000_s1030" type="#_x0000_t202" alt="General" style="position:absolute;left:0;text-align:left;margin-left:9pt;margin-top:0;width:55.7pt;height:26.05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" filled="f" stroked="f">
          <v:textbox style="mso-fit-shape-to-text:t" inset="0,0,20pt,15pt">
            <w:txbxContent>
              <w:p w14:paraId="79795541" w14:textId="77777777" w:rsidR="00205AA8" w:rsidRPr="00646D57" w:rsidRDefault="00205AA8" w:rsidP="00646D57">
                <w:pPr>
                  <w:spacing w:after="0"/>
                  <w:rPr>
                    <w:rFonts w:ascii="Century Gothic" w:eastAsia="Century Gothic" w:hAnsi="Century Gothic" w:cs="Century Gothic"/>
                    <w:noProof/>
                    <w:color w:val="5514B4"/>
                    <w:sz w:val="18"/>
                    <w:szCs w:val="18"/>
                  </w:rPr>
                </w:pPr>
                <w:r w:rsidRPr="00646D57">
                  <w:rPr>
                    <w:rFonts w:ascii="Century Gothic" w:eastAsia="Century Gothic" w:hAnsi="Century Gothic" w:cs="Century Gothic"/>
                    <w:noProof/>
                    <w:color w:val="5514B4"/>
                    <w:sz w:val="18"/>
                    <w:szCs w:val="18"/>
                  </w:rPr>
                  <w:t>General</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A4357" w14:textId="77777777" w:rsidR="00205AA8" w:rsidRDefault="00205AA8" w:rsidP="00205AA8">
      <w:pPr>
        <w:spacing w:after="0"/>
      </w:pPr>
      <w:r>
        <w:separator/>
      </w:r>
    </w:p>
  </w:footnote>
  <w:footnote w:type="continuationSeparator" w:id="0">
    <w:p w14:paraId="104E52A2" w14:textId="77777777" w:rsidR="00205AA8" w:rsidRDefault="00205AA8" w:rsidP="00205A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035A5" w14:textId="55D81F1F" w:rsidR="00205AA8" w:rsidRDefault="00055444">
    <w:pPr>
      <w:pStyle w:val="Header"/>
    </w:pPr>
    <w:r>
      <w:pict w14:anchorId="6A924C74">
        <v:shapetype id="_x0000_t202" coordsize="21600,21600" o:spt="202" path="m,l,21600r21600,l21600,xe">
          <v:stroke joinstyle="miter"/>
          <v:path gradientshapeok="t" o:connecttype="rect"/>
        </v:shapetype>
        <v:shape id="Text Box 2" o:spid="_x0000_s1025" type="#_x0000_t202" alt="General" style="position:absolute;margin-left:9pt;margin-top:0;width:55.7pt;height:26.0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" filled="f" stroked="f">
          <v:textbox style="mso-fit-shape-to-text:t" inset="0,15pt,20pt,0">
            <w:txbxContent>
              <w:p w14:paraId="3B9595B5" w14:textId="77777777" w:rsidR="00205AA8" w:rsidRPr="00646D57" w:rsidRDefault="00205AA8" w:rsidP="00646D57">
                <w:pPr>
                  <w:spacing w:after="0"/>
                  <w:rPr>
                    <w:rFonts w:ascii="Century Gothic" w:eastAsia="Century Gothic" w:hAnsi="Century Gothic" w:cs="Century Gothic"/>
                    <w:noProof/>
                    <w:color w:val="5514B4"/>
                    <w:sz w:val="18"/>
                    <w:szCs w:val="18"/>
                  </w:rPr>
                </w:pPr>
                <w:r w:rsidRPr="00646D57">
                  <w:rPr>
                    <w:rFonts w:ascii="Century Gothic" w:eastAsia="Century Gothic" w:hAnsi="Century Gothic" w:cs="Century Gothic"/>
                    <w:noProof/>
                    <w:color w:val="5514B4"/>
                    <w:sz w:val="18"/>
                    <w:szCs w:val="18"/>
                  </w:rPr>
                  <w:t>General</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A82A3" w14:textId="28416F5A" w:rsidR="00205AA8" w:rsidRDefault="00055444">
    <w:pPr>
      <w:pStyle w:val="Header"/>
    </w:pPr>
    <w:r>
      <w:pict w14:anchorId="48EB72BA">
        <v:shapetype id="_x0000_t202" coordsize="21600,21600" o:spt="202" path="m,l,21600r21600,l21600,xe">
          <v:stroke joinstyle="miter"/>
          <v:path gradientshapeok="t" o:connecttype="rect"/>
        </v:shapetype>
        <v:shape id="Text Box 3" o:spid="_x0000_s1026" type="#_x0000_t202" alt="General" style="position:absolute;margin-left:9pt;margin-top:0;width:55.7pt;height:26.05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" filled="f" stroked="f">
          <v:textbox style="mso-fit-shape-to-text:t" inset="0,15pt,20pt,0">
            <w:txbxContent>
              <w:p w14:paraId="4A5CC787" w14:textId="77777777" w:rsidR="00205AA8" w:rsidRPr="00646D57" w:rsidRDefault="00205AA8" w:rsidP="00646D57">
                <w:pPr>
                  <w:spacing w:after="0"/>
                  <w:rPr>
                    <w:rFonts w:ascii="Century Gothic" w:eastAsia="Century Gothic" w:hAnsi="Century Gothic" w:cs="Century Gothic"/>
                    <w:noProof/>
                    <w:color w:val="5514B4"/>
                    <w:sz w:val="18"/>
                    <w:szCs w:val="18"/>
                  </w:rPr>
                </w:pPr>
                <w:r w:rsidRPr="00646D57">
                  <w:rPr>
                    <w:rFonts w:ascii="Century Gothic" w:eastAsia="Century Gothic" w:hAnsi="Century Gothic" w:cs="Century Gothic"/>
                    <w:noProof/>
                    <w:color w:val="5514B4"/>
                    <w:sz w:val="18"/>
                    <w:szCs w:val="18"/>
                  </w:rPr>
                  <w:t>General</w:t>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C4CE2" w14:textId="0D9DE010" w:rsidR="00205AA8" w:rsidRDefault="00055444">
    <w:pPr>
      <w:pStyle w:val="Header"/>
    </w:pPr>
    <w:r>
      <w:pict w14:anchorId="51C6E9C0">
        <v:shapetype id="_x0000_t202" coordsize="21600,21600" o:spt="202" path="m,l,21600r21600,l21600,xe">
          <v:stroke joinstyle="miter"/>
          <v:path gradientshapeok="t" o:connecttype="rect"/>
        </v:shapetype>
        <v:shape id="Text Box 1" o:spid="_x0000_s1029" type="#_x0000_t202" alt="General" style="position:absolute;margin-left:9pt;margin-top:0;width:55.7pt;height:26.0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" filled="f" stroked="f">
          <v:textbox style="mso-fit-shape-to-text:t" inset="0,15pt,20pt,0">
            <w:txbxContent>
              <w:p w14:paraId="299FD3E1" w14:textId="77777777" w:rsidR="00205AA8" w:rsidRPr="00646D57" w:rsidRDefault="00205AA8" w:rsidP="00646D57">
                <w:pPr>
                  <w:spacing w:after="0"/>
                  <w:rPr>
                    <w:rFonts w:ascii="Century Gothic" w:eastAsia="Century Gothic" w:hAnsi="Century Gothic" w:cs="Century Gothic"/>
                    <w:noProof/>
                    <w:color w:val="5514B4"/>
                    <w:sz w:val="18"/>
                    <w:szCs w:val="18"/>
                  </w:rPr>
                </w:pPr>
                <w:r w:rsidRPr="00646D57">
                  <w:rPr>
                    <w:rFonts w:ascii="Century Gothic" w:eastAsia="Century Gothic" w:hAnsi="Century Gothic" w:cs="Century Gothic"/>
                    <w:noProof/>
                    <w:color w:val="5514B4"/>
                    <w:sz w:val="18"/>
                    <w:szCs w:val="18"/>
                  </w:rPr>
                  <w:t>General</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num w:numId="1" w16cid:durableId="1693604285">
    <w:abstractNumId w:val="0"/>
  </w:num>
  <w:num w:numId="2" w16cid:durableId="1995797978">
    <w:abstractNumId w:val="1"/>
  </w:num>
  <w:num w:numId="3" w16cid:durableId="10090205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o:shapelayout v:ext="edit">
      <o:idmap v:ext="edit" data="1"/>
    </o:shapelayout>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93313"/>
    <w:rsid w:val="00055444"/>
    <w:rsid w:val="00062DBD"/>
    <w:rsid w:val="000F4F02"/>
    <w:rsid w:val="00205AA8"/>
    <w:rsid w:val="00367610"/>
    <w:rsid w:val="003D0A26"/>
    <w:rsid w:val="004C04E2"/>
    <w:rsid w:val="00993313"/>
    <w:rsid w:val="00AF61EE"/>
    <w:rsid w:val="00D17D12"/>
    <w:rsid w:val="00F1633A"/>
    <w:rsid w:val="00F211BF"/>
    <w:rsid w:val="00F223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A35C9"/>
  <w15:chartTrackingRefBased/>
  <w15:docId w15:val="{F21C01F6-A691-4358-8F13-8E64B11A8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A8"/>
    <w:pPr>
      <w:overflowPunct w:val="0"/>
      <w:autoSpaceDE w:val="0"/>
      <w:autoSpaceDN w:val="0"/>
      <w:adjustRightInd w:val="0"/>
      <w:spacing w:after="180" w:line="240" w:lineRule="auto"/>
    </w:pPr>
    <w:rPr>
      <w:rFonts w:ascii="Times New Roman" w:eastAsia="Times New Roman" w:hAnsi="Times New Roman" w:cs="Times New Roman"/>
      <w:kern w:val="0"/>
      <w:sz w:val="20"/>
      <w:szCs w:val="20"/>
      <w:lang w:eastAsia="ja-JP"/>
    </w:rPr>
  </w:style>
  <w:style w:type="paragraph" w:styleId="Heading1">
    <w:name w:val="heading 1"/>
    <w:basedOn w:val="Normal"/>
    <w:next w:val="Normal"/>
    <w:link w:val="Heading1Char"/>
    <w:qFormat/>
    <w:rsid w:val="009933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9933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9331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331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331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331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331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331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331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331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99331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9331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331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331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331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331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331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3313"/>
    <w:rPr>
      <w:rFonts w:eastAsiaTheme="majorEastAsia" w:cstheme="majorBidi"/>
      <w:color w:val="272727" w:themeColor="text1" w:themeTint="D8"/>
    </w:rPr>
  </w:style>
  <w:style w:type="paragraph" w:styleId="Title">
    <w:name w:val="Title"/>
    <w:basedOn w:val="Normal"/>
    <w:next w:val="Normal"/>
    <w:link w:val="TitleChar"/>
    <w:uiPriority w:val="10"/>
    <w:qFormat/>
    <w:rsid w:val="0099331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33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331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331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3313"/>
    <w:pPr>
      <w:spacing w:before="160"/>
      <w:jc w:val="center"/>
    </w:pPr>
    <w:rPr>
      <w:i/>
      <w:iCs/>
      <w:color w:val="404040" w:themeColor="text1" w:themeTint="BF"/>
    </w:rPr>
  </w:style>
  <w:style w:type="character" w:customStyle="1" w:styleId="QuoteChar">
    <w:name w:val="Quote Char"/>
    <w:basedOn w:val="DefaultParagraphFont"/>
    <w:link w:val="Quote"/>
    <w:uiPriority w:val="29"/>
    <w:rsid w:val="00993313"/>
    <w:rPr>
      <w:i/>
      <w:iCs/>
      <w:color w:val="404040" w:themeColor="text1" w:themeTint="BF"/>
    </w:rPr>
  </w:style>
  <w:style w:type="paragraph" w:styleId="ListParagraph">
    <w:name w:val="List Paragraph"/>
    <w:basedOn w:val="Normal"/>
    <w:uiPriority w:val="34"/>
    <w:qFormat/>
    <w:rsid w:val="00993313"/>
    <w:pPr>
      <w:ind w:left="720"/>
      <w:contextualSpacing/>
    </w:pPr>
  </w:style>
  <w:style w:type="character" w:styleId="IntenseEmphasis">
    <w:name w:val="Intense Emphasis"/>
    <w:basedOn w:val="DefaultParagraphFont"/>
    <w:uiPriority w:val="21"/>
    <w:qFormat/>
    <w:rsid w:val="00993313"/>
    <w:rPr>
      <w:i/>
      <w:iCs/>
      <w:color w:val="0F4761" w:themeColor="accent1" w:themeShade="BF"/>
    </w:rPr>
  </w:style>
  <w:style w:type="paragraph" w:styleId="IntenseQuote">
    <w:name w:val="Intense Quote"/>
    <w:basedOn w:val="Normal"/>
    <w:next w:val="Normal"/>
    <w:link w:val="IntenseQuoteChar"/>
    <w:uiPriority w:val="30"/>
    <w:qFormat/>
    <w:rsid w:val="009933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3313"/>
    <w:rPr>
      <w:i/>
      <w:iCs/>
      <w:color w:val="0F4761" w:themeColor="accent1" w:themeShade="BF"/>
    </w:rPr>
  </w:style>
  <w:style w:type="character" w:styleId="IntenseReference">
    <w:name w:val="Intense Reference"/>
    <w:basedOn w:val="DefaultParagraphFont"/>
    <w:uiPriority w:val="32"/>
    <w:qFormat/>
    <w:rsid w:val="00993313"/>
    <w:rPr>
      <w:b/>
      <w:bCs/>
      <w:smallCaps/>
      <w:color w:val="0F4761"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05AA8"/>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5AA8"/>
    <w:rPr>
      <w:rFonts w:ascii="Arial" w:eastAsia="SimSun" w:hAnsi="Arial" w:cs="Times New Roman"/>
      <w:b/>
      <w:noProof/>
      <w:kern w:val="0"/>
      <w:sz w:val="18"/>
      <w:szCs w:val="20"/>
      <w:lang w:eastAsia="ja-JP"/>
    </w:rPr>
  </w:style>
  <w:style w:type="paragraph" w:customStyle="1" w:styleId="3GPPHeader">
    <w:name w:val="3GPP_Header"/>
    <w:basedOn w:val="BodyText"/>
    <w:rsid w:val="00205AA8"/>
    <w:pPr>
      <w:tabs>
        <w:tab w:val="left" w:pos="1701"/>
        <w:tab w:val="right" w:pos="9639"/>
      </w:tabs>
      <w:spacing w:after="240"/>
    </w:pPr>
    <w:rPr>
      <w:b/>
      <w:sz w:val="24"/>
    </w:rPr>
  </w:style>
  <w:style w:type="paragraph" w:styleId="Footer">
    <w:name w:val="footer"/>
    <w:basedOn w:val="Header"/>
    <w:link w:val="FooterChar"/>
    <w:rsid w:val="00205AA8"/>
    <w:pPr>
      <w:jc w:val="center"/>
    </w:pPr>
    <w:rPr>
      <w:i/>
    </w:rPr>
  </w:style>
  <w:style w:type="character" w:customStyle="1" w:styleId="FooterChar">
    <w:name w:val="Footer Char"/>
    <w:basedOn w:val="DefaultParagraphFont"/>
    <w:link w:val="Footer"/>
    <w:rsid w:val="00205AA8"/>
    <w:rPr>
      <w:rFonts w:ascii="Arial" w:eastAsia="SimSun" w:hAnsi="Arial" w:cs="Times New Roman"/>
      <w:b/>
      <w:i/>
      <w:noProof/>
      <w:kern w:val="0"/>
      <w:sz w:val="18"/>
      <w:szCs w:val="20"/>
      <w:lang w:eastAsia="ja-JP"/>
    </w:rPr>
  </w:style>
  <w:style w:type="paragraph" w:styleId="BodyText">
    <w:name w:val="Body Text"/>
    <w:basedOn w:val="Normal"/>
    <w:link w:val="BodyTextChar"/>
    <w:rsid w:val="00205AA8"/>
    <w:pPr>
      <w:spacing w:after="120"/>
      <w:jc w:val="both"/>
    </w:pPr>
    <w:rPr>
      <w:rFonts w:ascii="Arial" w:hAnsi="Arial"/>
      <w:lang w:eastAsia="zh-CN"/>
    </w:rPr>
  </w:style>
  <w:style w:type="character" w:customStyle="1" w:styleId="BodyTextChar">
    <w:name w:val="Body Text Char"/>
    <w:basedOn w:val="DefaultParagraphFont"/>
    <w:link w:val="BodyText"/>
    <w:rsid w:val="00205AA8"/>
    <w:rPr>
      <w:rFonts w:ascii="Arial" w:eastAsia="Times New Roman" w:hAnsi="Arial" w:cs="Times New Roman"/>
      <w:kern w:val="0"/>
      <w:sz w:val="20"/>
      <w:szCs w:val="20"/>
      <w:lang w:eastAsia="zh-CN"/>
    </w:rPr>
  </w:style>
  <w:style w:type="character" w:styleId="Hyperlink">
    <w:name w:val="Hyperlink"/>
    <w:uiPriority w:val="99"/>
    <w:rsid w:val="00205AA8"/>
    <w:rPr>
      <w:color w:val="0000FF"/>
      <w:u w:val="single"/>
    </w:rPr>
  </w:style>
  <w:style w:type="paragraph" w:customStyle="1" w:styleId="Proposal">
    <w:name w:val="Proposal"/>
    <w:basedOn w:val="BodyText"/>
    <w:link w:val="ProposalChar"/>
    <w:qFormat/>
    <w:rsid w:val="00205AA8"/>
    <w:pPr>
      <w:numPr>
        <w:numId w:val="1"/>
      </w:numPr>
      <w:tabs>
        <w:tab w:val="clear" w:pos="6549"/>
        <w:tab w:val="num" w:pos="1304"/>
        <w:tab w:val="left" w:pos="1701"/>
      </w:tabs>
      <w:ind w:left="1304"/>
    </w:pPr>
    <w:rPr>
      <w:b/>
      <w:bCs/>
    </w:rPr>
  </w:style>
  <w:style w:type="paragraph" w:customStyle="1" w:styleId="Observation">
    <w:name w:val="Observation"/>
    <w:basedOn w:val="Proposal"/>
    <w:qFormat/>
    <w:rsid w:val="00205AA8"/>
    <w:pPr>
      <w:numPr>
        <w:numId w:val="2"/>
      </w:numPr>
      <w:tabs>
        <w:tab w:val="num" w:pos="360"/>
      </w:tabs>
      <w:ind w:left="1701" w:hanging="1701"/>
    </w:pPr>
    <w:rPr>
      <w:lang w:eastAsia="ja-JP"/>
    </w:rPr>
  </w:style>
  <w:style w:type="paragraph" w:styleId="TableofFigures">
    <w:name w:val="table of figures"/>
    <w:basedOn w:val="BodyText"/>
    <w:next w:val="Normal"/>
    <w:uiPriority w:val="99"/>
    <w:rsid w:val="00205AA8"/>
    <w:pPr>
      <w:ind w:left="1701" w:hanging="1701"/>
      <w:jc w:val="left"/>
    </w:pPr>
    <w:rPr>
      <w:b/>
    </w:rPr>
  </w:style>
  <w:style w:type="paragraph" w:customStyle="1" w:styleId="Agreement">
    <w:name w:val="Agreement"/>
    <w:basedOn w:val="Normal"/>
    <w:next w:val="Normal"/>
    <w:uiPriority w:val="99"/>
    <w:qFormat/>
    <w:rsid w:val="00205AA8"/>
    <w:pPr>
      <w:numPr>
        <w:numId w:val="3"/>
      </w:numPr>
      <w:tabs>
        <w:tab w:val="clear" w:pos="2333"/>
        <w:tab w:val="num" w:pos="360"/>
      </w:tabs>
      <w:overflowPunct/>
      <w:autoSpaceDE/>
      <w:autoSpaceDN/>
      <w:adjustRightInd/>
      <w:spacing w:before="60" w:after="0"/>
      <w:ind w:left="0" w:firstLine="0"/>
    </w:pPr>
    <w:rPr>
      <w:rFonts w:ascii="Arial" w:eastAsia="MS Mincho" w:hAnsi="Arial"/>
      <w:b/>
      <w:szCs w:val="24"/>
      <w:lang w:eastAsia="en-GB"/>
    </w:rPr>
  </w:style>
  <w:style w:type="character" w:customStyle="1" w:styleId="ProposalChar">
    <w:name w:val="Proposal Char"/>
    <w:basedOn w:val="BodyTextChar"/>
    <w:link w:val="Proposal"/>
    <w:qFormat/>
    <w:rsid w:val="00205AA8"/>
    <w:rPr>
      <w:rFonts w:ascii="Arial" w:eastAsia="Times New Roman" w:hAnsi="Arial" w:cs="Times New Roman"/>
      <w:b/>
      <w:bCs/>
      <w:kern w:val="0"/>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1135</Words>
  <Characters>6473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BT Plc</Company>
  <LinksUpToDate>false</LinksUpToDate>
  <CharactersWithSpaces>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 Diaz Sendra (TDDF R)</dc:creator>
  <cp:keywords/>
  <dc:description/>
  <cp:lastModifiedBy>Salva Diaz Sendra (TDDF R)</cp:lastModifiedBy>
  <cp:revision>2</cp:revision>
  <dcterms:created xsi:type="dcterms:W3CDTF">2025-11-07T08:53:00Z</dcterms:created>
  <dcterms:modified xsi:type="dcterms:W3CDTF">2025-11-07T08:53:00Z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818d02-8d25-4bb9-b27c-e4db64670887_Enabled">
    <vt:lpwstr>true</vt:lpwstr>
  </property>
  <property fmtid="{D5CDD505-2E9C-101B-9397-08002B2CF9AE}" pid="3" name="MSIP_Label_55818d02-8d25-4bb9-b27c-e4db64670887_SetDate">
    <vt:lpwstr>2025-11-07T07:40:47Z</vt:lpwstr>
  </property>
  <property fmtid="{D5CDD505-2E9C-101B-9397-08002B2CF9AE}" pid="4" name="MSIP_Label_55818d02-8d25-4bb9-b27c-e4db64670887_Method">
    <vt:lpwstr>Standard</vt:lpwstr>
  </property>
  <property fmtid="{D5CDD505-2E9C-101B-9397-08002B2CF9AE}" pid="5" name="MSIP_Label_55818d02-8d25-4bb9-b27c-e4db64670887_Name">
    <vt:lpwstr>55818d02-8d25-4bb9-b27c-e4db64670887</vt:lpwstr>
  </property>
  <property fmtid="{D5CDD505-2E9C-101B-9397-08002B2CF9AE}" pid="6" name="MSIP_Label_55818d02-8d25-4bb9-b27c-e4db64670887_SiteId">
    <vt:lpwstr>a7f35688-9c00-4d5e-ba41-29f146377ab0</vt:lpwstr>
  </property>
  <property fmtid="{D5CDD505-2E9C-101B-9397-08002B2CF9AE}" pid="7" name="MSIP_Label_55818d02-8d25-4bb9-b27c-e4db64670887_ActionId">
    <vt:lpwstr>65c645f6-002d-4d37-8e6c-01c2bb1968f4</vt:lpwstr>
  </property>
  <property fmtid="{D5CDD505-2E9C-101B-9397-08002B2CF9AE}" pid="8" name="MSIP_Label_55818d02-8d25-4bb9-b27c-e4db64670887_ContentBits">
    <vt:lpwstr>3</vt:lpwstr>
  </property>
  <property fmtid="{D5CDD505-2E9C-101B-9397-08002B2CF9AE}" pid="9" name="MSIP_Label_55818d02-8d25-4bb9-b27c-e4db64670887_Tag">
    <vt:lpwstr>10, 3, 0, 1</vt:lpwstr>
  </property>
</Properties>
</file>